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Fonts w:hint="eastAsia" w:ascii="黑体" w:hAnsi="黑体" w:eastAsia="黑体"/>
          <w:bCs/>
          <w:color w:val="000000"/>
          <w:szCs w:val="32"/>
          <w:lang w:val="en-US" w:eastAsia="zh-CN"/>
        </w:rPr>
      </w:pPr>
      <w:r>
        <w:rPr>
          <w:rFonts w:hint="eastAsia" w:ascii="黑体" w:hAnsi="黑体" w:eastAsia="黑体"/>
          <w:bCs/>
          <w:color w:val="000000"/>
          <w:szCs w:val="32"/>
        </w:rPr>
        <w:t>附件</w:t>
      </w:r>
      <w:r>
        <w:rPr>
          <w:rFonts w:hint="eastAsia" w:ascii="黑体" w:hAnsi="黑体" w:eastAsia="黑体"/>
          <w:bCs/>
          <w:color w:val="000000"/>
          <w:szCs w:val="32"/>
          <w:lang w:val="en-US" w:eastAsia="zh-CN"/>
        </w:rPr>
        <w:t>4</w:t>
      </w:r>
    </w:p>
    <w:tbl>
      <w:tblPr>
        <w:tblStyle w:val="2"/>
        <w:tblW w:w="910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851"/>
        <w:gridCol w:w="992"/>
        <w:gridCol w:w="3544"/>
        <w:gridCol w:w="2268"/>
        <w:gridCol w:w="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91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温州港口服务有限公司期租拖轮项目考评表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服务船名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评分因素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评分因素权重分值</w:t>
            </w:r>
          </w:p>
        </w:tc>
        <w:tc>
          <w:tcPr>
            <w:tcW w:w="354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评分标准</w:t>
            </w:r>
          </w:p>
        </w:tc>
        <w:tc>
          <w:tcPr>
            <w:tcW w:w="2976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评分结果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4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7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东方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资质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5分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对公司资质、注册资金、规模、信用信息等综合因素进行综合评分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A档（3.4-5分）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B档（1.7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3.3分）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C档（0-1.6分）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拖轮安全管理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根据拖轮近两年海事安全检查纪录（不足两年的则提供近期海事安全检查纪录）等综合进行评分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A档（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6.8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分）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B档（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3.4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6.7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分）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C档（0-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3.3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分）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拖轮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概况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结合是否符合公司拖轮服务需求、</w:t>
            </w:r>
            <w:bookmarkStart w:id="0" w:name="_GoBack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主要设备配置情况</w:t>
            </w:r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、船龄、对外消防功能、船员年龄等综合因素进行综合评分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A档（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分）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B档（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9.9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分）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C档（0-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4.9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分）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期租成本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70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根据2024年月度油耗报表进行评分。（5分）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A档（3.4-5分）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B档（1.7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3.3分）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C档（0-1.6分）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</w:pPr>
          </w:p>
        </w:tc>
        <w:tc>
          <w:tcPr>
            <w:tcW w:w="851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</w:pPr>
          </w:p>
        </w:tc>
        <w:tc>
          <w:tcPr>
            <w:tcW w:w="992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</w:pP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价格分（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5分）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按备注2进行评分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总分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100分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6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考评人签名：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spacing w:line="240" w:lineRule="auto"/>
        <w:ind w:firstLine="0" w:firstLineChars="0"/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 w:val="24"/>
        </w:rPr>
        <w:t>备注：</w:t>
      </w:r>
    </w:p>
    <w:p>
      <w:pPr>
        <w:numPr>
          <w:ilvl w:val="0"/>
          <w:numId w:val="1"/>
        </w:numPr>
        <w:spacing w:line="240" w:lineRule="auto"/>
        <w:ind w:firstLine="0" w:firstLineChars="0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信用信息以信用中国网站（www.creditchina.gov.cn）、中国政府采购网（www.ccgp.gov.cn）公布为准。</w:t>
      </w:r>
    </w:p>
    <w:p>
      <w:pPr>
        <w:numPr>
          <w:ilvl w:val="0"/>
          <w:numId w:val="1"/>
        </w:numPr>
        <w:spacing w:line="240" w:lineRule="auto"/>
        <w:ind w:firstLine="0" w:firstLineChars="0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满足拖轮服务要求的最低报价（期租月租金）为评标基准值，其余投标人报价与该基准值对比，计算出价格评分值（保留小数2位）：</w:t>
      </w:r>
    </w:p>
    <w:p>
      <w:pPr>
        <w:spacing w:line="240" w:lineRule="auto"/>
        <w:ind w:firstLine="0" w:firstLineChars="0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（1）有效投标人的投标报价等于评标基准值时，其报价分为</w:t>
      </w:r>
      <w:r>
        <w:rPr>
          <w:rFonts w:hint="eastAsia" w:ascii="仿宋" w:hAnsi="仿宋" w:eastAsia="仿宋" w:cs="仿宋"/>
          <w:color w:val="000000"/>
          <w:kern w:val="0"/>
          <w:sz w:val="24"/>
          <w:lang w:val="en-US" w:eastAsia="zh-CN"/>
        </w:rPr>
        <w:t>65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分；</w:t>
      </w:r>
    </w:p>
    <w:p>
      <w:pPr>
        <w:spacing w:line="240" w:lineRule="auto"/>
        <w:ind w:firstLine="0" w:firstLineChars="0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（2）其他投标人的价格分按以下公式计算：</w:t>
      </w:r>
    </w:p>
    <w:p>
      <w:pPr>
        <w:spacing w:line="240" w:lineRule="auto"/>
        <w:ind w:firstLine="0" w:firstLineChars="0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投标报价得分={评标基准值/投标人报价}×</w:t>
      </w:r>
      <w:r>
        <w:rPr>
          <w:rFonts w:hint="eastAsia" w:ascii="仿宋" w:hAnsi="仿宋" w:eastAsia="仿宋" w:cs="仿宋"/>
          <w:color w:val="000000"/>
          <w:kern w:val="0"/>
          <w:sz w:val="24"/>
          <w:lang w:val="en-US" w:eastAsia="zh-CN"/>
        </w:rPr>
        <w:t>65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（四舍五入后保留小数2位）。</w:t>
      </w:r>
    </w:p>
    <w:p>
      <w:pPr>
        <w:spacing w:line="240" w:lineRule="auto"/>
        <w:ind w:firstLine="0" w:firstLineChars="0"/>
        <w:rPr>
          <w:rFonts w:ascii="仿宋" w:hAnsi="仿宋" w:eastAsia="仿宋" w:cs="仿宋"/>
          <w:bCs/>
          <w:color w:val="000000"/>
          <w:sz w:val="24"/>
        </w:rPr>
      </w:pPr>
    </w:p>
    <w:p>
      <w:pPr>
        <w:spacing w:line="240" w:lineRule="auto"/>
        <w:ind w:firstLine="0" w:firstLineChars="0"/>
        <w:rPr>
          <w:rFonts w:ascii="黑体" w:hAnsi="黑体" w:eastAsia="黑体"/>
          <w:bCs/>
          <w:color w:val="000000"/>
          <w:szCs w:val="32"/>
        </w:rPr>
      </w:pPr>
    </w:p>
    <w:p>
      <w:pPr>
        <w:spacing w:line="240" w:lineRule="auto"/>
        <w:ind w:firstLine="0" w:firstLineChars="0"/>
        <w:rPr>
          <w:rFonts w:ascii="黑体" w:hAnsi="黑体" w:eastAsia="黑体"/>
          <w:bCs/>
          <w:color w:val="000000"/>
          <w:szCs w:val="32"/>
        </w:rPr>
      </w:pP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3CA7C4"/>
    <w:multiLevelType w:val="singleLevel"/>
    <w:tmpl w:val="B73CA7C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867B8"/>
    <w:rsid w:val="3648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2025-09-02T23:25:00Z</dcterms:created>
  <dc:creator>wzgk</dc:creator>
  <cp:lastModifiedBy>wzgk</cp:lastModifiedBy>
  <dcterms:modified xsi:type="dcterms:W3CDTF">2025-09-02T23:27:39Z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